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CF" w:rsidRPr="008D29CF" w:rsidRDefault="008D29CF" w:rsidP="008D29C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9CF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«Берёзка» р.п. Самойловка Самойловского района Саратовской области</w:t>
      </w: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D29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8D29CF" w:rsidRPr="008D29CF" w:rsidRDefault="008D29CF" w:rsidP="008D29CF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8D29CF" w:rsidRPr="008D29CF" w:rsidRDefault="008D29CF" w:rsidP="008D29C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8D29CF" w:rsidRPr="008D29CF" w:rsidRDefault="008D29CF" w:rsidP="008D29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r w:rsidRPr="008D29CF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План работы по самообразованию </w:t>
      </w:r>
    </w:p>
    <w:p w:rsidR="008D29CF" w:rsidRPr="008D29CF" w:rsidRDefault="008D29CF" w:rsidP="008D29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r w:rsidRPr="008D29CF">
        <w:rPr>
          <w:rFonts w:ascii="Times New Roman" w:eastAsia="Calibri" w:hAnsi="Times New Roman" w:cs="Times New Roman"/>
          <w:b/>
          <w:color w:val="000000"/>
          <w:sz w:val="48"/>
          <w:szCs w:val="48"/>
        </w:rPr>
        <w:t>по теме:</w:t>
      </w:r>
    </w:p>
    <w:p w:rsidR="008D29CF" w:rsidRPr="008D29CF" w:rsidRDefault="008D29CF" w:rsidP="008D2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8D29C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«</w:t>
      </w:r>
      <w:r w:rsidRPr="008D29CF">
        <w:rPr>
          <w:rFonts w:ascii="Times New Roman" w:eastAsia="Calibri" w:hAnsi="Times New Roman" w:cs="Times New Roman"/>
          <w:b/>
          <w:sz w:val="52"/>
          <w:szCs w:val="52"/>
        </w:rPr>
        <w:t>Социализация детей старшего дошкольного возраста через сюжетно-ролевую игру</w:t>
      </w:r>
      <w:r w:rsidRPr="008D29C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»</w:t>
      </w:r>
    </w:p>
    <w:p w:rsidR="008D29CF" w:rsidRPr="008D29CF" w:rsidRDefault="008D29CF" w:rsidP="008D29CF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D29CF" w:rsidRPr="008D29CF" w:rsidRDefault="008D29CF" w:rsidP="008D29CF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8D29CF">
        <w:rPr>
          <w:rFonts w:ascii="Times New Roman" w:eastAsia="Calibri" w:hAnsi="Times New Roman" w:cs="Times New Roman"/>
          <w:sz w:val="36"/>
          <w:szCs w:val="36"/>
        </w:rPr>
        <w:t xml:space="preserve">                            2023 – 2024 учебный год</w:t>
      </w:r>
    </w:p>
    <w:p w:rsidR="008D29CF" w:rsidRPr="008D29CF" w:rsidRDefault="008D29CF" w:rsidP="008D29CF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8D29CF" w:rsidRPr="008D29CF" w:rsidRDefault="008D29CF" w:rsidP="008D29CF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8D29CF" w:rsidRPr="008D29CF" w:rsidRDefault="008D29CF" w:rsidP="008D29C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29CF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Составила: воспитатель</w:t>
      </w:r>
    </w:p>
    <w:p w:rsidR="008D29CF" w:rsidRPr="008D29CF" w:rsidRDefault="008D29CF" w:rsidP="008D29C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8D29CF">
        <w:rPr>
          <w:rFonts w:ascii="Times New Roman" w:eastAsia="Calibri" w:hAnsi="Times New Roman" w:cs="Times New Roman"/>
          <w:b/>
          <w:sz w:val="32"/>
          <w:szCs w:val="32"/>
        </w:rPr>
        <w:t>Шикина Анастасия Сергеевна</w:t>
      </w:r>
    </w:p>
    <w:p w:rsidR="008D29CF" w:rsidRPr="008D29CF" w:rsidRDefault="008D29CF" w:rsidP="008D29CF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40"/>
          <w:szCs w:val="40"/>
        </w:rPr>
      </w:pPr>
    </w:p>
    <w:p w:rsidR="008D29CF" w:rsidRPr="008D29CF" w:rsidRDefault="008D29CF" w:rsidP="008D29C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8D29CF" w:rsidRPr="008D29CF" w:rsidRDefault="008D29CF" w:rsidP="008D29C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29CF" w:rsidRPr="008D29CF" w:rsidRDefault="008D29CF" w:rsidP="008D29C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8D29CF" w:rsidRPr="008D29CF" w:rsidSect="00027E3C">
          <w:footerReference w:type="default" r:id="rId5"/>
          <w:pgSz w:w="11906" w:h="16838"/>
          <w:pgMar w:top="1134" w:right="850" w:bottom="1134" w:left="1418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  <w:r w:rsidRPr="008D29CF">
        <w:rPr>
          <w:rFonts w:ascii="Times New Roman" w:eastAsia="Calibri" w:hAnsi="Times New Roman" w:cs="Times New Roman"/>
          <w:sz w:val="28"/>
          <w:szCs w:val="28"/>
        </w:rPr>
        <w:t>Р.п. Самойловка</w:t>
      </w:r>
    </w:p>
    <w:p w:rsidR="008D29CF" w:rsidRPr="008D29CF" w:rsidRDefault="008D29CF" w:rsidP="008D29CF">
      <w:pPr>
        <w:shd w:val="clear" w:color="auto" w:fill="FFFFFF"/>
        <w:spacing w:after="0" w:line="317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Введение.</w:t>
      </w:r>
    </w:p>
    <w:p w:rsidR="008D29CF" w:rsidRPr="008D29CF" w:rsidRDefault="008D29CF" w:rsidP="008D29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Социализация – это процесс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сопровождает человека всю жизнь и начинается практически с рождения. Человек, как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социальная единица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усваивает нормы и образцы поведения, принятые в том обществе, в котором он живет, учится взаимодействию, умению строить отношения вначале в семье, в узком круге близких родственников, потом в коллективе сверстников, далее – в более масштабных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социумах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29CF" w:rsidRPr="008D29CF" w:rsidRDefault="008D29CF" w:rsidP="008D29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ведущий вид деятельности, наиболее эффективная форма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социализации ребенка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игре закладываются основы будущей личности. Играя вместе, дети начинают строить взаимоотношения, учатся общению, не всегда гладко, но это путь обучения, иного нет.</w:t>
      </w:r>
    </w:p>
    <w:p w:rsidR="008D29CF" w:rsidRPr="008D29CF" w:rsidRDefault="008D29CF" w:rsidP="008D29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возрасте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ребенок открывает для себя мир человеческих отношений, разных видов деятельности и общественных функций людей. Он испытывает сильное желание включиться в эту взрослую жизнь, активно в ней участвовать. </w:t>
      </w:r>
      <w:r w:rsidRPr="008D29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Кроме того, дети среднего и старшего дошкольного возраста стремятся к самостоятельности. 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 помощь приходит сюжетно-ролевая игра – самостоятельная деятельность детей, моделирующая взрослую жизнь, где дети «примеряют» на себя роли взрослых.</w:t>
      </w:r>
    </w:p>
    <w:p w:rsidR="008D29CF" w:rsidRPr="008D29CF" w:rsidRDefault="008D29CF" w:rsidP="008D29CF">
      <w:pPr>
        <w:shd w:val="clear" w:color="auto" w:fill="FFFFFF"/>
        <w:spacing w:after="0" w:line="317" w:lineRule="atLeast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Сюжетно-ролевая игра – подлинная социальная практика ребёнка, его реальная жизнь в обществе сверстников. К сожалению,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каждым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 поколением детей меняется игровое пространство детства.</w:t>
      </w:r>
      <w:r w:rsidRPr="008D29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Социализация нынешних бабушек и дедушек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проходила  во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дворах, где они целыми днями гоняли мяч, играли в «войну», прыгали на скакалках. Сейчас редко увидишь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играющих вместе. Современное поколение предпочитает коллективным дворовым играм индивидуальные компьютерные. Это предпочтение во многом формируется вечно спешащими взрослыми: у много работающих мам и пап просто нет времени, бабушки и дедушки живут отдельно от внуков и тоже работают, ну а воспитатели усиленно готовят детей к школе, игра вытесняется учебными занятиями.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Ученые и педагоги всех стран говорят о необходимости вернуть детям право на игру. В ФГОС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 игра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 как  один из сквозных механизмов развития ребенка,  как важное средство его социализации. При этом одним из целевых ориентиров выступает "на этапе завершения дошкольного образования"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 должен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овладеть разными формами и видами игры, различать условную и реальную ситуации, уметь подчиняться разным правилам и социальным нормам.</w:t>
      </w:r>
      <w:r w:rsidRPr="008D29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складываются первые стереотипы социального поведения, формируется индивидуальный стиль поведения человека, вырабатываются навыки и привычки правильного поведения, складывается характер.</w:t>
      </w: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считаю, что выбранная мною тема самообразования актуальна, потому что </w:t>
      </w:r>
      <w:r w:rsidRPr="008D2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благополучие ребенка в дальнейшей жизни во многом зависит от того, насколько успешным оказался его ранний социальный опыт, насколько </w:t>
      </w:r>
      <w:r w:rsidRPr="008D29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благополучно прошла социализация личности ребенка, т. е. усвоение им с раннего возраста ценностей общества, в котором ему предстоит жить. </w:t>
      </w: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Цель:</w:t>
      </w:r>
      <w:r w:rsidRPr="008D29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своего теоретического уровня, профессионального мастерства и компетентности в</w:t>
      </w: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формировании социального опыта, личностных качеств ребёнка на основе его включения в систему социальных отношений через сюжетно-ролевую игру.</w:t>
      </w: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нормативные документы, современные методические ресурсы по проблеме «</w:t>
      </w: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детей старшего дошкольного возраста через сюжетно-ролевую игру</w:t>
      </w: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Внедрить новые формы взаимодействия с семьей, обеспечивающие партнерскую позицию в реализации образовательного процесса. 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педагогическую компетентность родителей в области организации игровой деятельности.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распространить педагогический опыт на мероприятиях различного уровня.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оздать предметно-игровую среду, отвечающую современным требованиям и позволяющую развертывать длительные сюжетно-ролевые игры; 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активизации форм партнерского сотрудничества между детьми.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Использовать воспитательный потенциал игры для формирования межличностных взаимоотношений </w:t>
      </w:r>
      <w:proofErr w:type="gramStart"/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  в</w:t>
      </w:r>
      <w:proofErr w:type="gramEnd"/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воспитанников системы социальных мотивов, навыков совместной деятельности, общения, владения своим поведением.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гендерную, семейную, гражданскую принадлежности воспитанников.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кругозор воспитанников посредством игры.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речевую активность у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старшего дошкольного возраста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29CF" w:rsidRPr="008D29CF" w:rsidRDefault="008D29CF" w:rsidP="008D29CF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художественно-эстетический вкус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дошкольного возраста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родителями и детьми: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8D29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Родители: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 через консультации, индивидуальные или подгрупповые беседы, групповые родительские собрания;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изготовление атрибутов для сюжетно-ролевых игр.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8D29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предварительные беседы по теме игры;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рассматривание дидактических картин, альбомов, иллюстраций по теме игры;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мультимедийных презентаций, видеороликов, мультфильмов по теме игры;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детских произведений по теме игры;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сюжетно-ролевые игры с воспитателем в главной роли;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сюжетно-ролевые игры, где воспитатель выступает в роли координатора;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самостоятельные сюжетно-ролевые игры;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разыгрывание с детьми воображаемых ситуаций;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подготовка атрибутов для сюжетно-ролевых игр.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дифференцированного подхода;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учета интересов всех участников педагогического процесса;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сотрудничества между воспитателями, детьми и родителями;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комплексного подхода к организации коррекционно- педагогического процесса.</w:t>
      </w: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работы: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этап.</w:t>
      </w: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Организационно-диагностический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мониторинг по образовательной области «Социально-коммуникативное развитие»; 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анкетирование родителей воспитанников по теме «Социализация детей старшего дошкольного возраста».</w:t>
      </w:r>
    </w:p>
    <w:p w:rsidR="008D29CF" w:rsidRPr="008D29CF" w:rsidRDefault="008D29CF" w:rsidP="008D29C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 Теоретический</w:t>
      </w:r>
    </w:p>
    <w:p w:rsidR="008D29CF" w:rsidRPr="008D29CF" w:rsidRDefault="008D29CF" w:rsidP="008D29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особенностей развития детей старшего дошкольного возраста;  </w:t>
      </w:r>
    </w:p>
    <w:p w:rsidR="008D29CF" w:rsidRPr="008D29CF" w:rsidRDefault="008D29CF" w:rsidP="008D2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обобщение психолого-педагогической и методической литературы по социализации детей старшего дошкольного возраста;</w:t>
      </w:r>
    </w:p>
    <w:p w:rsidR="008D29CF" w:rsidRPr="008D29CF" w:rsidRDefault="008D29CF" w:rsidP="008D2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обобщение методической литературы по разработке и проведению сюжетно-ролевых игр для детей старшего дошкольного возраста;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оформление методической копилки (составление плана по самообразованию, подборка-сюжетно-ролевых игр, консультаций для родителей).</w:t>
      </w:r>
    </w:p>
    <w:p w:rsidR="008D29CF" w:rsidRPr="008D29CF" w:rsidRDefault="008D29CF" w:rsidP="008D29C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 Обобщающий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итоговый анализ результатов работы по </w:t>
      </w:r>
      <w:r w:rsidRPr="008D29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социализации детей через сюжетно-ролевую игру </w:t>
      </w:r>
      <w:r w:rsidRPr="008D29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(подготовка отчета по </w:t>
      </w:r>
      <w:r w:rsidRPr="008D29C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самообразованию</w:t>
      </w:r>
      <w:r w:rsidRPr="008D29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транслирование накопленного педагогического опыта в профессиональных сообществах (выступление на заседании Педагогического совета, интернет-портфолио</w:t>
      </w:r>
      <w:r w:rsidRPr="008D29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D29CF" w:rsidRPr="008D29CF" w:rsidRDefault="008D29CF" w:rsidP="008D29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уровня педагогической компетенции в вопросах социализации старших дошкольников через сюжетно-ролевую игру;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материала по социализации детей старшего дошкольного возраста средствами сюжетно-ролевых игр в соответствии с возрастными и индивидуальными возможностями;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методической копилки сюжетно-ролевых игр и атрибутов к ним;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педагогического опыта по проблемной тематике;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сформированы </w:t>
      </w:r>
      <w:r w:rsidRPr="008D2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гендерная, семейная, гражданская принадлежности;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  <w:tab w:val="left" w:pos="851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воспитанников сформированы системы социальных мотивов, навыков совместной деятельности, владения своим поведением, общения со сверстниками и взрослыми;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ДОУ и семьи по проблеме </w:t>
      </w:r>
      <w:bookmarkStart w:id="0" w:name="_Hlk77893863"/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 детей старшего дошкольного возраста</w:t>
      </w:r>
      <w:bookmarkEnd w:id="0"/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сюжетно-ролевых игр;</w:t>
      </w:r>
    </w:p>
    <w:p w:rsidR="008D29CF" w:rsidRPr="008D29CF" w:rsidRDefault="008D29CF" w:rsidP="008D29CF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сформируется </w:t>
      </w: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компетентность родителей в области организации игровой деятельности.</w:t>
      </w:r>
    </w:p>
    <w:p w:rsidR="008D29CF" w:rsidRPr="008D29CF" w:rsidRDefault="008D29CF" w:rsidP="008D2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D29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Помесячный план методической работы воспитателя по </w:t>
      </w:r>
      <w:proofErr w:type="gramStart"/>
      <w:r w:rsidRPr="008D29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теме:   </w:t>
      </w:r>
      <w:proofErr w:type="gramEnd"/>
      <w:r w:rsidRPr="008D29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«</w:t>
      </w:r>
      <w:r w:rsidRPr="008D29CF">
        <w:rPr>
          <w:rFonts w:ascii="Times New Roman" w:eastAsia="Calibri" w:hAnsi="Times New Roman" w:cs="Times New Roman"/>
          <w:b/>
          <w:sz w:val="28"/>
          <w:szCs w:val="28"/>
        </w:rPr>
        <w:t xml:space="preserve">Социализация детей старшего дошкольного возраста 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D29CF">
        <w:rPr>
          <w:rFonts w:ascii="Times New Roman" w:eastAsia="Calibri" w:hAnsi="Times New Roman" w:cs="Times New Roman"/>
          <w:b/>
          <w:sz w:val="28"/>
          <w:szCs w:val="28"/>
        </w:rPr>
        <w:t>через сюжетно-ролевую игру</w:t>
      </w:r>
      <w:r w:rsidRPr="008D29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8D29CF" w:rsidRPr="008D29CF" w:rsidRDefault="008D29CF" w:rsidP="008D29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632" w:type="dxa"/>
        <w:tblInd w:w="-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3281"/>
        <w:gridCol w:w="2806"/>
        <w:gridCol w:w="2864"/>
      </w:tblGrid>
      <w:tr w:rsidR="008D29CF" w:rsidRPr="008D29CF" w:rsidTr="00AA49AD"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1"/>
                <w:szCs w:val="23"/>
                <w:lang w:eastAsia="ru-RU"/>
              </w:rPr>
            </w:pPr>
            <w:bookmarkStart w:id="1" w:name="006180c4dcacd2b21b64a62d14ca24d9a7982c17"/>
            <w:bookmarkStart w:id="2" w:name="0"/>
            <w:bookmarkEnd w:id="1"/>
            <w:bookmarkEnd w:id="2"/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воспитателя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с детьми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с родителями</w:t>
            </w:r>
          </w:p>
        </w:tc>
      </w:tr>
      <w:tr w:rsidR="008D29CF" w:rsidRPr="008D29CF" w:rsidTr="00AA49AD">
        <w:trPr>
          <w:trHeight w:val="689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материала, необходимого для работы с детьми и родителями на тему: «</w:t>
            </w:r>
            <w:r w:rsidRPr="008D29CF">
              <w:rPr>
                <w:rFonts w:ascii="Times New Roman" w:eastAsia="Calibri" w:hAnsi="Times New Roman" w:cs="Times New Roman"/>
                <w:sz w:val="28"/>
                <w:szCs w:val="28"/>
              </w:rPr>
              <w:t>Социализация детей старшего дошкольного возраста через сюжетно-ролевую игру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  <w:r w:rsidRPr="008D29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Постановка цели и задач по теме, прогнозирование результатов.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первичного мониторинга по области «Социально-коммуникативное развитие».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«Социализация детей старшего дошкольного возраста».</w:t>
            </w:r>
          </w:p>
        </w:tc>
      </w:tr>
      <w:tr w:rsidR="008D29CF" w:rsidRPr="008D29CF" w:rsidTr="00AA49AD">
        <w:trPr>
          <w:trHeight w:val="689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плана работы. Изучение темы «Формирование умений детей старшего дошкольного возраста посредством сюжетно-ролевых игр».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форм работы с детьми.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сюжетно-ролевых игр по возрасту воспитанников.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родителей «Сюжетно-ролевые игры».</w:t>
            </w:r>
          </w:p>
        </w:tc>
      </w:tr>
      <w:tr w:rsidR="008D29CF" w:rsidRPr="008D29CF" w:rsidTr="00AA49AD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темы «Социализация детей старшего дошкольного возраста посредством сюжетно-ролевых игр».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Сюжетно-ролевые игры «Больница», «Скорая помощь», «Аптека», «Ветеринарная клиника». Совместное изготовление атрибутов для игр.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родителей «Сюжетно-ролевая игра в жизни ребёнка».</w:t>
            </w:r>
          </w:p>
        </w:tc>
      </w:tr>
      <w:tr w:rsidR="008D29CF" w:rsidRPr="008D29CF" w:rsidTr="00AA49AD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конспекта сюжетно-ролевой игры «Телевидение». Подборка детской художественной литературы по тематике игр.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созданием картотеки сюжетно-ролевых игр.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Сюжетно-ролевые игры «Телевидение», «В библиотеке», «Магазин», «Семья».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Совместное изготовление атрибутов для игр.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Буклет для родителей «Игрушка в жизни ребенка».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родителей к созданию атрибутов для сюжетно-ролевых игр.</w:t>
            </w:r>
          </w:p>
        </w:tc>
      </w:tr>
      <w:tr w:rsidR="008D29CF" w:rsidRPr="008D29CF" w:rsidTr="00AA49AD">
        <w:trPr>
          <w:trHeight w:val="547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конспекта сюжетно-ролевой игры «Спасатели». Подборка детской художественной литературы по тематике игр.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созданием картотеки сюжетно-ролевых игр.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 «Спасатели», «Пожар», «На дорогах города», «На станции техобслуживания автомобилей».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Совместное изготовление атрибутов для игр.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Буклет для родителей «Игрушка в жизни ребенка»</w:t>
            </w:r>
            <w:r w:rsidRPr="008D29CF">
              <w:rPr>
                <w:rFonts w:ascii="Calibri" w:eastAsia="Calibri" w:hAnsi="Calibri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D29CF">
              <w:rPr>
                <w:rFonts w:ascii="Times New Roman" w:eastAsia="Calibri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(2 часть)</w:t>
            </w:r>
            <w:r w:rsidRPr="008D29CF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родителей к созданию атрибутов для сюжетно-ролевых игр.</w:t>
            </w:r>
          </w:p>
        </w:tc>
      </w:tr>
      <w:tr w:rsidR="008D29CF" w:rsidRPr="008D29CF" w:rsidTr="00AA49AD">
        <w:trPr>
          <w:trHeight w:val="546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конспекта сюжетно-ролевой игры «Изобретатели». Подборка детской художественной литературы по тематике игр.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созданием картотеки сюжетно-ролевых игр.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 «Изобретатели», «Кругосветное путешествие», «Космонавты».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Совместное изготовление атрибутов для игр.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Буклет для родителей 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«Куклы или пистолет».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Привлечение родителей к созданию атрибутов для сюжетно-ролевых игр.</w:t>
            </w:r>
          </w:p>
        </w:tc>
      </w:tr>
      <w:tr w:rsidR="008D29CF" w:rsidRPr="008D29CF" w:rsidTr="00AA49AD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над созданием картотеки сюжетно-ролевых игр. 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 по картотеке.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Совместное изготовление атрибутов для игр.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родителей к созданию атрибутов для сюжетно-ролевых игр.</w:t>
            </w:r>
          </w:p>
        </w:tc>
      </w:tr>
      <w:tr w:rsidR="008D29CF" w:rsidRPr="008D29CF" w:rsidTr="00AA49AD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Апрель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памятки для воспитателей к планированию сюжетно-ролевой игры.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Сюжетно-ролевые игры по картотеке. </w:t>
            </w: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Совместное изготовление атрибутов для игр.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родителей к созданию атрибутов для сюжетно-ролевых игр.</w:t>
            </w:r>
          </w:p>
        </w:tc>
      </w:tr>
      <w:tr w:rsidR="008D29CF" w:rsidRPr="008D29CF" w:rsidTr="00AA49AD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опыта.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практических рекомендаций для воспитателей при составлении игровых картотек.</w:t>
            </w:r>
          </w:p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 на заседании Педагогического совета.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итогового мониторинга по области «Социально-коммуникативное развитие».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9CF" w:rsidRPr="008D29CF" w:rsidRDefault="008D29CF" w:rsidP="008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9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Семинар-практикум для родителей </w:t>
            </w:r>
            <w:r w:rsidRPr="008D29C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«Игры, в которые мы играем»</w:t>
            </w:r>
            <w:r w:rsidRPr="008D29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</w:tbl>
    <w:p w:rsidR="008D29CF" w:rsidRPr="008D29CF" w:rsidRDefault="008D29CF" w:rsidP="008D29C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Используемая литература: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CF">
        <w:rPr>
          <w:rFonts w:ascii="Times New Roman" w:eastAsia="Calibri" w:hAnsi="Times New Roman" w:cs="Times New Roman"/>
          <w:sz w:val="28"/>
          <w:szCs w:val="28"/>
        </w:rPr>
        <w:t>Виноградова Н. А. Сюжетно-ролевые игры для старших дошкольников. Москва, 2011.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CF">
        <w:rPr>
          <w:rFonts w:ascii="Times New Roman" w:eastAsia="Calibri" w:hAnsi="Times New Roman" w:cs="Times New Roman"/>
          <w:sz w:val="28"/>
          <w:szCs w:val="28"/>
        </w:rPr>
        <w:t>Глухов В. П. Особенности формирования связной речи дошкольников с общим недоразвитием речи. - М., Издательский дом «Грааль», 2001.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 Н. Ф «Развитие игровой деятельности» изд. «Мозаика-Синтез» 2012.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Касаткина Е. И. Игра в жизни дошкольника. М.: Дрофа, 2013.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Козлова С, Куликова Т «Дошкольная педагогика»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2013.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Козлова С. А. «Дошкольная педагогика» - М: Дрофа. - 2013.</w:t>
      </w:r>
    </w:p>
    <w:p w:rsidR="008D29CF" w:rsidRPr="008D29CF" w:rsidRDefault="008D29CF" w:rsidP="008D29CF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29CF">
        <w:rPr>
          <w:rFonts w:ascii="Times New Roman" w:eastAsia="Calibri" w:hAnsi="Times New Roman" w:cs="Times New Roman"/>
          <w:sz w:val="28"/>
          <w:szCs w:val="28"/>
        </w:rPr>
        <w:t>Краснощекова Н. В. Сюжетно-ролевые игры для детей дошкольного возраста. Ростов на Дону, 2013.</w:t>
      </w:r>
    </w:p>
    <w:p w:rsidR="008D29CF" w:rsidRPr="008D29CF" w:rsidRDefault="008D29CF" w:rsidP="008D29C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Михайленко Н.Я., Короткова Н.А. Организация сюжетной игры в детском саду: Пособие для воспитателя. 2-е изд. - М.: Издательство «ГНОМ и Д», 2000.</w:t>
      </w:r>
    </w:p>
    <w:p w:rsidR="008D29CF" w:rsidRPr="008D29CF" w:rsidRDefault="008D29CF" w:rsidP="008D29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Интернет–ресурсы: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 Нормативная база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http://www.standart.edu.ru/ нормативная база, повышение квалификации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"Российское образование" Федеральный портал. Каталог образовательных </w:t>
      </w:r>
      <w:proofErr w:type="spell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rost.ru/</w:t>
      </w:r>
      <w:proofErr w:type="spell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projects</w:t>
      </w:r>
      <w:proofErr w:type="spell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Национальный проект "Образование".</w:t>
      </w:r>
    </w:p>
    <w:p w:rsidR="008D29CF" w:rsidRPr="008D29CF" w:rsidRDefault="008D29CF" w:rsidP="008D29C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2. Методические наработки, конспекты занятий, педагогические библиотеки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http://www.ivalex.vistcom.ru/metod.htm сайт "Всё для детского сада"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http://detsad-kitty.ru/ ДетСад (методическая литература, наглядный </w:t>
      </w:r>
      <w:proofErr w:type="gram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  методические</w:t>
      </w:r>
      <w:proofErr w:type="gram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наработки)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http://dob.1september.ru Журнал дошкольное образование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http://vospitatel.com.ua/ сайт Воспитатель (конспекты занятий в ДОУ)</w:t>
      </w:r>
    </w:p>
    <w:p w:rsidR="008D29CF" w:rsidRPr="008D29CF" w:rsidRDefault="008D29CF" w:rsidP="008D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http://ldv.metodcenter.edusite.ru Лаболатория дошкольного образования</w:t>
      </w:r>
    </w:p>
    <w:p w:rsidR="008D29CF" w:rsidRPr="008D29CF" w:rsidRDefault="008D29CF" w:rsidP="008D29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9CF" w:rsidRPr="008D29CF" w:rsidRDefault="008D29CF" w:rsidP="008D29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Все для подготовки непосредственно-образовательной деятельности</w:t>
      </w:r>
    </w:p>
    <w:p w:rsidR="008D29CF" w:rsidRPr="008D29CF" w:rsidRDefault="008D29CF" w:rsidP="008D29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http://allforchildren.ru/ Все для детей (</w:t>
      </w:r>
      <w:proofErr w:type="spellStart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расскраски</w:t>
      </w:r>
      <w:proofErr w:type="spellEnd"/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песни, стихи, наглядный материал)</w:t>
      </w:r>
    </w:p>
    <w:p w:rsidR="008D29CF" w:rsidRPr="008D29CF" w:rsidRDefault="008D29CF" w:rsidP="008D29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http://www.schoolforbaby.ru загадки, сценарии праздников, поделки, песни</w:t>
      </w:r>
    </w:p>
    <w:p w:rsidR="008D29CF" w:rsidRPr="008D29CF" w:rsidRDefault="008D29CF" w:rsidP="008D29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http://www.solnet.ee/ Детский портал «СОЛНЫШКО» Здесь много интересной и полезной информации и для малышей, и для их родителей, и для педагогов.</w:t>
      </w:r>
    </w:p>
    <w:p w:rsidR="008D29CF" w:rsidRPr="008D29CF" w:rsidRDefault="008D29CF" w:rsidP="008D29CF">
      <w:pPr>
        <w:spacing w:after="200" w:line="276" w:lineRule="auto"/>
        <w:rPr>
          <w:rFonts w:ascii="Calibri" w:eastAsia="Calibri" w:hAnsi="Calibri" w:cs="Times New Roman"/>
        </w:rPr>
      </w:pPr>
    </w:p>
    <w:p w:rsidR="00FE09C5" w:rsidRDefault="00FE09C5">
      <w:bookmarkStart w:id="3" w:name="_GoBack"/>
      <w:bookmarkEnd w:id="3"/>
    </w:p>
    <w:sectPr w:rsidR="00FE09C5" w:rsidSect="007E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427835"/>
      <w:docPartObj>
        <w:docPartGallery w:val="Page Numbers (Bottom of Page)"/>
        <w:docPartUnique/>
      </w:docPartObj>
    </w:sdtPr>
    <w:sdtEndPr/>
    <w:sdtContent>
      <w:p w:rsidR="00482838" w:rsidRDefault="008D29CF">
        <w:pPr>
          <w:pStyle w:val="a3"/>
          <w:jc w:val="right"/>
        </w:pPr>
      </w:p>
    </w:sdtContent>
  </w:sdt>
  <w:p w:rsidR="00482838" w:rsidRDefault="008D29CF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40C1"/>
    <w:multiLevelType w:val="multilevel"/>
    <w:tmpl w:val="F50C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610B0"/>
    <w:multiLevelType w:val="hybridMultilevel"/>
    <w:tmpl w:val="B564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165D"/>
    <w:multiLevelType w:val="hybridMultilevel"/>
    <w:tmpl w:val="6A445458"/>
    <w:lvl w:ilvl="0" w:tplc="2ECA7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CF"/>
    <w:rsid w:val="008D29CF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6AB25-0296-4FDF-8570-8EE4FF66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D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11059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2025-04-20T09:55:00Z</dcterms:created>
  <dcterms:modified xsi:type="dcterms:W3CDTF">2025-04-20T09:57:00Z</dcterms:modified>
</cp:coreProperties>
</file>